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0080"/>
      </w:tblGrid>
      <w:tr>
        <w:tc>
          <w:tcPr>
            <w:tcW w:w="10080" w:type="dxa"/>
            <w:shd w:val="clear" w:color="auto" w:fill="1E3A5F"/>
            <w:tcMar>
              <w:top w:w="450" w:type="dxa"/>
              <w:start w:w="360" w:type="dxa"/>
              <w:left w:w="360" w:type="dxa"/>
              <w:bottom w:w="328" w:type="dxa"/>
              <w:end w:w="360" w:type="dxa"/>
              <w:right w:w="360" w:type="dxa"/>
            </w:tcMar>
          </w:tcPr>
          <w:p>
            <w:pPr>
              <w:pStyle w:val="Heading1"/>
              <w:keepNext w:val="1"/>
              <w:spacing w:before="0" w:after="151" w:line="240" w:lineRule="auto"/>
              <w:keepLines w:val="1"/>
            </w:pPr>
            <w:r>
              <w:rPr>
                <w:rFonts w:ascii="Arial" w:hAnsi="Arial" w:cs="Arial" w:eastAsia="Arial"/>
                <w:b/>
                <w:i w:val="0"/>
                <w:strike w:val="0"/>
                <w:color w:val="FFFFFF"/>
                <w:sz w:val="52"/>
                <w:u w:val="none"/>
                <w:szCs w:val="52"/>
                <w:bCs w:val="1"/>
                <w:iCs w:val="0"/>
              </w:rPr>
              <w:t>Jordan Ellis</w:t>
            </w:r>
          </w:p>
          <w:p>
            <w:pPr>
              <w:pStyle w:val="Heading2"/>
              <w:keepNext w:val="1"/>
              <w:spacing w:before="0" w:after="130" w:line="240" w:lineRule="auto"/>
              <w:keepLines w:val="1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F59E0B"/>
                <w:sz w:val="26"/>
                <w:u w:val="none"/>
                <w:szCs w:val="26"/>
                <w:bCs w:val="0"/>
                <w:iCs w:val="0"/>
              </w:rPr>
              <w:t>Operations Manager</w:t>
            </w:r>
          </w:p>
          <w:p>
            <w:pPr>
              <w:spacing w:before="0" w:after="120" w:line="240" w:lineRule="auto"/>
              <w:keepLines w:val="1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CBD5E1"/>
                <w:sz w:val="19"/>
                <w:u w:val="none"/>
                <w:szCs w:val="19"/>
                <w:bCs w:val="0"/>
                <w:iCs w:val="0"/>
              </w:rPr>
              <w:t>jordan.ellis@example.test  |  (555) 010-4477  |  Portland, OR</w:t>
            </w:r>
          </w:p>
        </w:tc>
      </w:tr>
    </w:tbl>
    <w:p>
      <w:pPr>
        <w:spacing w:before="0" w:after="120"/>
      </w:pPr>
    </w:p>
    <w:p>
      <w:pPr>
        <w:spacing w:before="0" w:after="0"/>
        <w:pBdr>
          <w:bottom w:val="single" w:sz="21" w:space="0" w:color="000000"/>
        </w:pBdr>
        <w:ind w:left="0" w:right="0"/>
      </w:pPr>
    </w:p>
    <w:p>
      <w:pPr>
        <w:spacing w:before="0" w:after="233" w:line="280" w:lineRule="atLeast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Operations manager with nine years of experience running multi-site facilities. Cut maintenance costs by 18%</w:t>
      </w: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 xml:space="preserve"> through planned servicing and renegotiated vendor contracts, while keeping tenant satisfaction above 90%.</w:t>
      </w:r>
    </w:p>
    <w:p>
      <w:pPr>
        <w:pStyle w:val="Heading3"/>
        <w:keepNext w:val="1"/>
        <w:spacing w:before="0" w:after="233" w:line="240" w:lineRule="auto"/>
      </w:pPr>
      <w:r>
        <w:rPr>
          <w:rFonts w:ascii="Arial" w:hAnsi="Arial" w:cs="Arial" w:eastAsia="Arial"/>
          <w:b/>
          <w:i w:val="0"/>
          <w:strike w:val="0"/>
          <w:color w:val="1E3A5F"/>
          <w:sz w:val="24"/>
          <w:u w:val="none"/>
          <w:szCs w:val="24"/>
          <w:bCs w:val="1"/>
          <w:iCs w:val="0"/>
        </w:rPr>
        <w:t>EXPERIENCE</w:t>
      </w:r>
    </w:p>
    <w:p>
      <w:pPr>
        <w:pStyle w:val="Heading3"/>
        <w:keepNext w:val="1"/>
        <w:spacing w:before="0" w:after="189" w:line="240" w:lineRule="auto"/>
      </w:pPr>
      <w:r>
        <w:rPr>
          <w:rFonts w:ascii="Arial" w:hAnsi="Arial" w:cs="Arial" w:eastAsia="Arial"/>
          <w:b/>
          <w:i w:val="0"/>
          <w:strike w:val="0"/>
          <w:color w:val="1F2937"/>
          <w:sz w:val="23"/>
          <w:u w:val="none"/>
          <w:szCs w:val="23"/>
          <w:bCs w:val="1"/>
          <w:iCs w:val="0"/>
        </w:rPr>
        <w:t>Operations Manager</w:t>
      </w:r>
    </w:p>
    <w:p>
      <w:pPr>
        <w:spacing w:before="0" w:after="206" w:line="240" w:lineRule="auto"/>
      </w:pPr>
      <w:r>
        <w:rPr>
          <w:rFonts w:ascii="Arial" w:hAnsi="Arial" w:cs="Arial" w:eastAsia="Arial"/>
          <w:b w:val="0"/>
          <w:i w:val="0"/>
          <w:strike w:val="0"/>
          <w:color w:val="0F766E"/>
          <w:sz w:val="20"/>
          <w:u w:val="none"/>
          <w:szCs w:val="20"/>
          <w:bCs w:val="0"/>
          <w:iCs w:val="0"/>
        </w:rPr>
        <w:t>Harbor Point Facilities  |  2021 - present</w:t>
      </w:r>
    </w:p>
    <w:p>
      <w:pPr>
        <w:numPr>
          <w:ilvl w:val="0"/>
          <w:numId w:val="10"/>
        </w:numPr>
        <w:pStyle w:val="ListBullet"/>
        <w:spacing w:before="0" w:after="206"/>
        <w:contextualSpacing w:val="0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Lead a team of 14 across three office sites and 220,000 sq ft.</w:t>
      </w:r>
    </w:p>
    <w:p>
      <w:pPr>
        <w:numPr>
          <w:ilvl w:val="0"/>
          <w:numId w:val="10"/>
        </w:numPr>
        <w:pStyle w:val="ListBullet"/>
        <w:spacing w:before="0" w:after="206"/>
        <w:contextualSpacing w:val="0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Introduced a planned-maintenance calendar that halved emergency call-outs.</w:t>
      </w:r>
    </w:p>
    <w:p>
      <w:pPr>
        <w:numPr>
          <w:ilvl w:val="0"/>
          <w:numId w:val="10"/>
        </w:numPr>
        <w:pStyle w:val="ListBullet"/>
        <w:spacing w:before="0" w:after="233"/>
        <w:contextualSpacing w:val="0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Own a $2.4M annual budget; delivered 2025 within 1% of plan.</w:t>
      </w:r>
    </w:p>
    <w:p>
      <w:pPr>
        <w:pStyle w:val="Heading3"/>
        <w:keepNext w:val="1"/>
        <w:spacing w:before="0" w:after="189" w:line="240" w:lineRule="auto"/>
      </w:pPr>
      <w:r>
        <w:rPr>
          <w:rFonts w:ascii="Arial" w:hAnsi="Arial" w:cs="Arial" w:eastAsia="Arial"/>
          <w:b/>
          <w:i w:val="0"/>
          <w:strike w:val="0"/>
          <w:color w:val="1F2937"/>
          <w:sz w:val="23"/>
          <w:u w:val="none"/>
          <w:szCs w:val="23"/>
          <w:bCs w:val="1"/>
          <w:iCs w:val="0"/>
        </w:rPr>
        <w:t>Facilities Coordinator</w:t>
      </w:r>
    </w:p>
    <w:p>
      <w:pPr>
        <w:spacing w:before="0" w:after="206" w:line="240" w:lineRule="auto"/>
      </w:pPr>
      <w:r>
        <w:rPr>
          <w:rFonts w:ascii="Arial" w:hAnsi="Arial" w:cs="Arial" w:eastAsia="Arial"/>
          <w:b w:val="0"/>
          <w:i w:val="0"/>
          <w:strike w:val="0"/>
          <w:color w:val="0F766E"/>
          <w:sz w:val="20"/>
          <w:u w:val="none"/>
          <w:szCs w:val="20"/>
          <w:bCs w:val="0"/>
          <w:iCs w:val="0"/>
        </w:rPr>
        <w:t>Northgate Property Group  |  2017 - 2021</w:t>
      </w:r>
    </w:p>
    <w:p>
      <w:pPr>
        <w:numPr>
          <w:ilvl w:val="0"/>
          <w:numId w:val="11"/>
        </w:numPr>
        <w:pStyle w:val="ListBullet"/>
        <w:spacing w:before="0" w:after="206"/>
        <w:contextualSpacing w:val="0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Managed 40+ vendor contracts and quarterly safety inspections.</w:t>
      </w:r>
    </w:p>
    <w:p>
      <w:pPr>
        <w:numPr>
          <w:ilvl w:val="0"/>
          <w:numId w:val="11"/>
        </w:numPr>
        <w:pStyle w:val="ListBullet"/>
        <w:spacing w:before="0" w:after="233"/>
        <w:contextualSpacing w:val="0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Moved work orders to a shared tracker, cutting response time by 35%.</w:t>
      </w:r>
    </w:p>
    <w:p>
      <w:pPr>
        <w:pStyle w:val="Heading3"/>
        <w:keepNext w:val="1"/>
        <w:spacing w:before="0" w:after="120" w:line="240" w:lineRule="auto"/>
      </w:pPr>
      <w:r>
        <w:rPr>
          <w:rFonts w:ascii="Arial" w:hAnsi="Arial" w:cs="Arial" w:eastAsia="Arial"/>
          <w:b/>
          <w:i w:val="0"/>
          <w:strike w:val="0"/>
          <w:color w:val="1E3A5F"/>
          <w:sz w:val="24"/>
          <w:u w:val="none"/>
          <w:szCs w:val="24"/>
          <w:bCs w:val="1"/>
          <w:iCs w:val="0"/>
        </w:rPr>
        <w:t>SKILLS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bottom w:w="0" w:type="dxa"/>
          <w:left w:w="30" w:type="dxa"/>
          <w:right w:w="30" w:type="dxa"/>
        </w:tblCellMar>
      </w:tblPr>
      <w:tblGrid>
        <w:gridCol w:w="3360"/>
        <w:gridCol w:w="3360"/>
        <w:gridCol w:w="3360"/>
      </w:tblGrid>
      <w:tr>
        <w:trPr>
          <w:trHeight w:val="530" w:hRule="atLeast"/>
          <w:cantSplit/>
        </w:trPr>
        <w:tc>
          <w:tcPr>
            <w:tcW w:w="3360" w:type="dxa"/>
            <w:shd w:val="clear" w:color="auto" w:fill="F1F5F9"/>
            <w:noWrap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1E3A5F"/>
                <w:sz w:val="20"/>
                <w:u w:val="none"/>
                <w:szCs w:val="20"/>
                <w:bCs w:val="0"/>
                <w:iCs w:val="0"/>
              </w:rPr>
              <w:t>Project planning</w:t>
            </w:r>
          </w:p>
        </w:tc>
        <w:tc>
          <w:tcPr>
            <w:tcW w:w="3360" w:type="dxa"/>
            <w:shd w:val="clear" w:color="auto" w:fill="F1F5F9"/>
            <w:noWrap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1E3A5F"/>
                <w:sz w:val="20"/>
                <w:u w:val="none"/>
                <w:szCs w:val="20"/>
                <w:bCs w:val="0"/>
                <w:iCs w:val="0"/>
              </w:rPr>
              <w:t>Budgeting</w:t>
            </w:r>
          </w:p>
        </w:tc>
        <w:tc>
          <w:tcPr>
            <w:tcW w:w="3360" w:type="dxa"/>
            <w:shd w:val="clear" w:color="auto" w:fill="F1F5F9"/>
            <w:noWrap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1E3A5F"/>
                <w:sz w:val="20"/>
                <w:u w:val="none"/>
                <w:szCs w:val="20"/>
                <w:bCs w:val="0"/>
                <w:iCs w:val="0"/>
              </w:rPr>
              <w:t>Vendor management</w:t>
            </w:r>
          </w:p>
        </w:tc>
      </w:tr>
      <w:tr>
        <w:trPr>
          <w:trHeight w:val="480" w:hRule="atLeast"/>
          <w:cantSplit/>
        </w:trPr>
        <w:tc>
          <w:tcPr>
            <w:tcW w:w="3360" w:type="dxa"/>
            <w:shd w:val="clear" w:color="auto" w:fill="F1F5F9"/>
            <w:noWrap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1E3A5F"/>
                <w:sz w:val="20"/>
                <w:u w:val="none"/>
                <w:szCs w:val="20"/>
                <w:bCs w:val="0"/>
                <w:iCs w:val="0"/>
              </w:rPr>
              <w:t>Data analysis</w:t>
            </w:r>
          </w:p>
        </w:tc>
        <w:tc>
          <w:tcPr>
            <w:tcW w:w="3360" w:type="dxa"/>
            <w:shd w:val="clear" w:color="auto" w:fill="F1F5F9"/>
            <w:noWrap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1E3A5F"/>
                <w:sz w:val="20"/>
                <w:u w:val="none"/>
                <w:szCs w:val="20"/>
                <w:bCs w:val="0"/>
                <w:iCs w:val="0"/>
              </w:rPr>
              <w:t>Team leadership</w:t>
            </w:r>
          </w:p>
        </w:tc>
        <w:tc>
          <w:tcPr>
            <w:tcW w:w="3360" w:type="dxa"/>
            <w:shd w:val="clear" w:color="auto" w:fill="F1F5F9"/>
            <w:noWrap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 w:val="0"/>
                <w:i w:val="0"/>
                <w:strike w:val="0"/>
                <w:color w:val="1E3A5F"/>
                <w:sz w:val="20"/>
                <w:u w:val="none"/>
                <w:szCs w:val="20"/>
                <w:bCs w:val="0"/>
                <w:iCs w:val="0"/>
              </w:rPr>
              <w:t>Health and safety</w:t>
            </w:r>
          </w:p>
        </w:tc>
      </w:tr>
    </w:tbl>
    <w:p>
      <w:pPr>
        <w:pStyle w:val="Heading3"/>
        <w:keepNext w:val="1"/>
        <w:spacing w:before="0" w:after="233" w:line="240" w:lineRule="auto"/>
      </w:pPr>
      <w:r>
        <w:rPr>
          <w:rFonts w:ascii="Arial" w:hAnsi="Arial" w:cs="Arial" w:eastAsia="Arial"/>
          <w:b/>
          <w:i w:val="0"/>
          <w:strike w:val="0"/>
          <w:color w:val="1E3A5F"/>
          <w:sz w:val="24"/>
          <w:u w:val="none"/>
          <w:szCs w:val="24"/>
          <w:bCs w:val="1"/>
          <w:iCs w:val="0"/>
        </w:rPr>
        <w:t>EDUCATION</w:t>
      </w:r>
    </w:p>
    <w:p>
      <w:pPr>
        <w:pStyle w:val="Heading3"/>
        <w:keepNext w:val="1"/>
        <w:spacing w:before="0" w:after="189" w:line="240" w:lineRule="auto"/>
      </w:pPr>
      <w:r>
        <w:rPr>
          <w:rFonts w:ascii="Arial" w:hAnsi="Arial" w:cs="Arial" w:eastAsia="Arial"/>
          <w:b/>
          <w:i w:val="0"/>
          <w:strike w:val="0"/>
          <w:color w:val="1F2937"/>
          <w:sz w:val="23"/>
          <w:u w:val="none"/>
          <w:szCs w:val="23"/>
          <w:bCs w:val="1"/>
          <w:iCs w:val="0"/>
        </w:rPr>
        <w:t>B.S. Business Administration</w:t>
      </w:r>
    </w:p>
    <w:p>
      <w:pPr>
        <w:spacing w:before="0" w:after="233" w:line="240" w:lineRule="auto"/>
      </w:pPr>
      <w:r>
        <w:rPr>
          <w:rFonts w:ascii="Arial" w:hAnsi="Arial" w:cs="Arial" w:eastAsia="Arial"/>
          <w:b w:val="0"/>
          <w:i w:val="0"/>
          <w:strike w:val="0"/>
          <w:color w:val="0F766E"/>
          <w:sz w:val="20"/>
          <w:u w:val="none"/>
          <w:szCs w:val="20"/>
          <w:bCs w:val="0"/>
          <w:iCs w:val="0"/>
        </w:rPr>
        <w:t>Oregon State University  |  2011 - 2015</w:t>
      </w:r>
    </w:p>
    <w:p>
      <w:pPr>
        <w:pStyle w:val="Heading3"/>
        <w:keepNext w:val="1"/>
        <w:spacing w:before="0" w:after="233" w:line="240" w:lineRule="auto"/>
      </w:pPr>
      <w:r>
        <w:rPr>
          <w:rFonts w:ascii="Arial" w:hAnsi="Arial" w:cs="Arial" w:eastAsia="Arial"/>
          <w:b/>
          <w:i w:val="0"/>
          <w:strike w:val="0"/>
          <w:color w:val="1E3A5F"/>
          <w:sz w:val="24"/>
          <w:u w:val="none"/>
          <w:szCs w:val="24"/>
          <w:bCs w:val="1"/>
          <w:iCs w:val="0"/>
        </w:rPr>
        <w:t>CERTIFICATIONS</w:t>
      </w:r>
    </w:p>
    <w:p>
      <w:pPr>
        <w:numPr>
          <w:ilvl w:val="0"/>
          <w:numId w:val="12"/>
        </w:numPr>
        <w:pStyle w:val="ListBullet"/>
        <w:spacing w:before="0" w:after="206"/>
        <w:contextualSpacing w:val="0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Facility Management Professional (FMP), 2020</w:t>
      </w:r>
    </w:p>
    <w:p>
      <w:pPr>
        <w:numPr>
          <w:ilvl w:val="0"/>
          <w:numId w:val="12"/>
        </w:numPr>
        <w:pStyle w:val="ListBullet"/>
        <w:spacing w:before="0" w:after="120"/>
        <w:contextualSpacing w:val="0"/>
      </w:pPr>
      <w:r>
        <w:rPr>
          <w:rFonts w:ascii="Arial" w:hAnsi="Arial" w:cs="Arial" w:eastAsia="Arial"/>
          <w:b w:val="0"/>
          <w:i w:val="0"/>
          <w:strike w:val="0"/>
          <w:color w:val="1F2937"/>
          <w:sz w:val="20"/>
          <w:u w:val="none"/>
          <w:szCs w:val="20"/>
          <w:bCs w:val="0"/>
          <w:iCs w:val="0"/>
        </w:rPr>
        <w:t>OSHA 30-Hour General Industry, 2019</w:t>
      </w:r>
    </w:p>
    <w:sectPr w:rsidR="00FC693F" w:rsidRPr="0006063C" w:rsidSect="00034616">
      <w:footerReference w:type="default" r:id="rId9"/>
      <w:pgSz w:w="12240" w:h="15840" w:orient="portrait"/>
      <w:pgMar w:top="1370" w:right="1080" w:bottom="2616" w:left="1080" w:header="720" w:footer="4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</w:pPr>
    <w:r>
      <w:rPr>
        <w:rFonts w:ascii="Arial" w:hAnsi="Arial" w:cs="Arial" w:eastAsia="Arial"/>
        <w:b w:val="0"/>
        <w:i w:val="0"/>
        <w:strike w:val="0"/>
        <w:color w:val="6B7280"/>
        <w:sz w:val="15"/>
        <w:u w:val="none"/>
        <w:szCs w:val="15"/>
        <w:bCs w:val="0"/>
        <w:iCs w:val="0"/>
      </w:rPr>
      <w:t>Synthetic example only. Invented person and details.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2937"/>
        <w:sz w:val="20"/>
        <w:szCs w:val="20"/>
      </w:rPr>
    </w:lvl>
  </w:abstractNum>
  <w:abstractNum w:abstractNumId="10">
    <w:multiLevelType w:val="singleLevel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2937"/>
        <w:sz w:val="20"/>
        <w:szCs w:val="20"/>
      </w:rPr>
    </w:lvl>
  </w:abstractNum>
  <w:abstractNum w:abstractNumId="11">
    <w:multiLevelType w:val="singleLevel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2937"/>
        <w:sz w:val="20"/>
        <w:szCs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resume.pdf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