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hd w:val="clear" w:color="auto" w:fill="1e3a5f"/>
      </w:pPr>
      <w:r>
        <w:rPr>
          <w:b/>
          <w:color w:val="F59E0B"/>
          <w:sz w:val="22"/>
        </w:rPr>
        <w:t xml:space="preserve">  PROPOSAL</w:t>
      </w:r>
    </w:p>
    <w:p>
      <w:pPr>
        <w:pStyle w:val="Title"/>
        <w:shd w:val="clear" w:color="auto" w:fill="1e3a5f"/>
      </w:pPr>
      <w:r>
        <w:rPr>
          <w:sz w:val="60"/>
        </w:rPr>
        <w:t xml:space="preserve"> Smart Lighting Upgrade</w:t>
      </w:r>
    </w:p>
    <w:p>
      <w:pPr>
        <w:shd w:val="clear" w:color="auto" w:fill="1e3a5f"/>
      </w:pPr>
      <w:r>
        <w:rPr>
          <w:color w:val="CBD5E1"/>
        </w:rPr>
        <w:t xml:space="preserve">  Prepared for Cedar Lane Offices  |  October 2026</w:t>
      </w:r>
    </w:p>
    <w:p>
      <w:pPr>
        <w:pStyle w:val="Heading1"/>
      </w:pPr>
      <w:r>
        <w:t>Executive summary</w:t>
      </w:r>
    </w:p>
    <w:p>
      <w:r>
        <w:t>Harbor Point Facilities proposes replacing 640 fluorescent fittings across three floors with networked LED panels and occupancy sensors. The project pays for itself in under three years and cuts lighting energy use by an estimated 58%.</w:t>
      </w:r>
    </w:p>
    <w:p>
      <w:pPr>
        <w:shd w:val="clear" w:color="auto" w:fill="FFFBEB"/>
      </w:pPr>
      <w:r>
        <w:rPr>
          <w:b/>
          <w:color w:val="92400E"/>
        </w:rPr>
        <w:t xml:space="preserve">  Total investment: $148,500  |  Payback: 2.6 years  |  Annual savings: $56,000</w:t>
      </w:r>
    </w:p>
    <w:p>
      <w:pPr>
        <w:pStyle w:val="Heading1"/>
      </w:pPr>
      <w:r>
        <w:t>Scope of work</w:t>
      </w:r>
    </w:p>
    <w:p>
      <w:pPr>
        <w:pStyle w:val="ListBullet"/>
      </w:pPr>
      <w:r>
        <w:t>Survey and design of all three floors</w:t>
      </w:r>
    </w:p>
    <w:p>
      <w:pPr>
        <w:pStyle w:val="ListBullet"/>
      </w:pPr>
      <w:r>
        <w:t>Supply and fit 640 LED panels with 5-year warranty</w:t>
      </w:r>
    </w:p>
    <w:p>
      <w:pPr>
        <w:pStyle w:val="ListBullet"/>
      </w:pPr>
      <w:r>
        <w:t>Install 85 occupancy and daylight sensors</w:t>
      </w:r>
    </w:p>
    <w:p>
      <w:pPr>
        <w:pStyle w:val="ListBullet"/>
      </w:pPr>
      <w:r>
        <w:t>Commission the lighting control dashboard and train staff</w:t>
      </w:r>
    </w:p>
    <w:p>
      <w:pPr>
        <w:pStyle w:val="Heading1"/>
      </w:pPr>
      <w:r>
        <w:t>Cost breakdown</w:t>
      </w:r>
    </w:p>
    <w:tbl>
      <w:tblPr>
        <w:tblStyle w:val="TableGrid"/>
        <w:tblW w:type="auto" w:w="0"/>
        <w:tblLook w:firstColumn="1" w:firstRow="1" w:lastColumn="0" w:lastRow="0" w:noHBand="0" w:noVBand="1" w:val="04A0"/>
      </w:tblPr>
      <w:tblGrid>
        <w:gridCol w:w="2412"/>
        <w:gridCol w:w="2412"/>
        <w:gridCol w:w="2412"/>
        <w:gridCol w:w="2412"/>
      </w:tblGrid>
      <w:tr>
        <w:tc>
          <w:tcPr>
            <w:tcW w:type="dxa" w:w="2412"/>
            <w:shd w:val="clear" w:color="auto" w:fill="1e3a5f"/>
          </w:tcPr>
          <w:p>
            <w:r>
              <w:rPr>
                <w:b/>
                <w:color w:val="FFFFFF"/>
              </w:rPr>
              <w:t>Item</w:t>
            </w:r>
          </w:p>
        </w:tc>
        <w:tc>
          <w:tcPr>
            <w:tcW w:type="dxa" w:w="2412"/>
            <w:shd w:val="clear" w:color="auto" w:fill="1e3a5f"/>
          </w:tcPr>
          <w:p>
            <w:pPr>
              <w:jc w:val="right"/>
            </w:pPr>
            <w:r>
              <w:rPr>
                <w:b/>
                <w:color w:val="FFFFFF"/>
              </w:rPr>
              <w:t>Quantity</w:t>
            </w:r>
          </w:p>
        </w:tc>
        <w:tc>
          <w:tcPr>
            <w:tcW w:type="dxa" w:w="2412"/>
            <w:shd w:val="clear" w:color="auto" w:fill="1e3a5f"/>
          </w:tcPr>
          <w:p>
            <w:pPr>
              <w:jc w:val="right"/>
            </w:pPr>
            <w:r>
              <w:rPr>
                <w:b/>
                <w:color w:val="FFFFFF"/>
              </w:rPr>
              <w:t>Unit cost</w:t>
            </w:r>
          </w:p>
        </w:tc>
        <w:tc>
          <w:tcPr>
            <w:tcW w:type="dxa" w:w="2412"/>
            <w:shd w:val="clear" w:color="auto" w:fill="1e3a5f"/>
          </w:tcPr>
          <w:p>
            <w:pPr>
              <w:jc w:val="right"/>
            </w:pPr>
            <w:r>
              <w:rPr>
                <w:b/>
                <w:color w:val="FFFFFF"/>
              </w:rPr>
              <w:t>Total</w:t>
            </w:r>
          </w:p>
        </w:tc>
      </w:tr>
      <w:tr>
        <w:tc>
          <w:tcPr>
            <w:tcW w:type="dxa" w:w="2412"/>
          </w:tcPr>
          <w:p>
            <w:r>
              <w:t>LED panels</w:t>
            </w:r>
          </w:p>
        </w:tc>
        <w:tc>
          <w:tcPr>
            <w:tcW w:type="dxa" w:w="2412"/>
          </w:tcPr>
          <w:p>
            <w:pPr>
              <w:jc w:val="right"/>
            </w:pPr>
            <w:r>
              <w:t>640</w:t>
            </w:r>
          </w:p>
        </w:tc>
        <w:tc>
          <w:tcPr>
            <w:tcW w:type="dxa" w:w="2412"/>
          </w:tcPr>
          <w:p>
            <w:pPr>
              <w:jc w:val="right"/>
            </w:pPr>
            <w:r>
              <w:t>$145</w:t>
            </w:r>
          </w:p>
        </w:tc>
        <w:tc>
          <w:tcPr>
            <w:tcW w:type="dxa" w:w="2412"/>
          </w:tcPr>
          <w:p>
            <w:pPr>
              <w:jc w:val="right"/>
            </w:pPr>
            <w:r>
              <w:t>$92,800</w:t>
            </w:r>
          </w:p>
        </w:tc>
      </w:tr>
      <w:tr>
        <w:tc>
          <w:tcPr>
            <w:tcW w:type="dxa" w:w="2412"/>
            <w:shd w:val="clear" w:color="auto" w:fill="F1F5F9"/>
          </w:tcPr>
          <w:p>
            <w:r>
              <w:t>Occupancy sensors</w:t>
            </w:r>
          </w:p>
        </w:tc>
        <w:tc>
          <w:tcPr>
            <w:tcW w:type="dxa" w:w="2412"/>
            <w:shd w:val="clear" w:color="auto" w:fill="F1F5F9"/>
          </w:tcPr>
          <w:p>
            <w:pPr>
              <w:jc w:val="right"/>
            </w:pPr>
            <w:r>
              <w:t>85</w:t>
            </w:r>
          </w:p>
        </w:tc>
        <w:tc>
          <w:tcPr>
            <w:tcW w:type="dxa" w:w="2412"/>
            <w:shd w:val="clear" w:color="auto" w:fill="F1F5F9"/>
          </w:tcPr>
          <w:p>
            <w:pPr>
              <w:jc w:val="right"/>
            </w:pPr>
            <w:r>
              <w:t>$210</w:t>
            </w:r>
          </w:p>
        </w:tc>
        <w:tc>
          <w:tcPr>
            <w:tcW w:type="dxa" w:w="2412"/>
            <w:shd w:val="clear" w:color="auto" w:fill="F1F5F9"/>
          </w:tcPr>
          <w:p>
            <w:pPr>
              <w:jc w:val="right"/>
            </w:pPr>
            <w:r>
              <w:t>$17,850</w:t>
            </w:r>
          </w:p>
        </w:tc>
      </w:tr>
      <w:tr>
        <w:tc>
          <w:tcPr>
            <w:tcW w:type="dxa" w:w="2412"/>
          </w:tcPr>
          <w:p>
            <w:r>
              <w:t>Control system</w:t>
            </w:r>
          </w:p>
        </w:tc>
        <w:tc>
          <w:tcPr>
            <w:tcW w:type="dxa" w:w="2412"/>
          </w:tcPr>
          <w:p>
            <w:pPr>
              <w:jc w:val="right"/>
            </w:pPr>
            <w:r>
              <w:t>1</w:t>
            </w:r>
          </w:p>
        </w:tc>
        <w:tc>
          <w:tcPr>
            <w:tcW w:type="dxa" w:w="2412"/>
          </w:tcPr>
          <w:p>
            <w:pPr>
              <w:jc w:val="right"/>
            </w:pPr>
            <w:r>
              <w:t>$18,500</w:t>
            </w:r>
          </w:p>
        </w:tc>
        <w:tc>
          <w:tcPr>
            <w:tcW w:type="dxa" w:w="2412"/>
          </w:tcPr>
          <w:p>
            <w:pPr>
              <w:jc w:val="right"/>
            </w:pPr>
            <w:r>
              <w:t>$18,500</w:t>
            </w:r>
          </w:p>
        </w:tc>
      </w:tr>
      <w:tr>
        <w:tc>
          <w:tcPr>
            <w:tcW w:type="dxa" w:w="2412"/>
            <w:shd w:val="clear" w:color="auto" w:fill="F1F5F9"/>
          </w:tcPr>
          <w:p>
            <w:r>
              <w:t>Installation labour</w:t>
            </w:r>
          </w:p>
        </w:tc>
        <w:tc>
          <w:tcPr>
            <w:tcW w:type="dxa" w:w="2412"/>
            <w:shd w:val="clear" w:color="auto" w:fill="F1F5F9"/>
          </w:tcPr>
          <w:p>
            <w:pPr>
              <w:jc w:val="right"/>
            </w:pPr>
            <w:r>
              <w:t>-</w:t>
            </w:r>
          </w:p>
        </w:tc>
        <w:tc>
          <w:tcPr>
            <w:tcW w:type="dxa" w:w="2412"/>
            <w:shd w:val="clear" w:color="auto" w:fill="F1F5F9"/>
          </w:tcPr>
          <w:p>
            <w:pPr>
              <w:jc w:val="right"/>
            </w:pPr>
            <w:r>
              <w:t>-</w:t>
            </w:r>
          </w:p>
        </w:tc>
        <w:tc>
          <w:tcPr>
            <w:tcW w:type="dxa" w:w="2412"/>
            <w:shd w:val="clear" w:color="auto" w:fill="F1F5F9"/>
          </w:tcPr>
          <w:p>
            <w:pPr>
              <w:jc w:val="right"/>
            </w:pPr>
            <w:r>
              <w:t>$19,350</w:t>
            </w:r>
          </w:p>
        </w:tc>
      </w:tr>
      <w:tr>
        <w:tc>
          <w:tcPr>
            <w:tcW w:type="dxa" w:w="2412"/>
            <w:shd w:val="clear" w:color="auto" w:fill="E2E8F0"/>
          </w:tcPr>
          <w:p>
            <w:r>
              <w:rPr>
                <w:b/>
              </w:rPr>
              <w:t>Total</w:t>
            </w:r>
          </w:p>
        </w:tc>
        <w:tc>
          <w:tcPr>
            <w:tcW w:type="dxa" w:w="2412"/>
            <w:shd w:val="clear" w:color="auto" w:fill="E2E8F0"/>
          </w:tcPr>
          <w:p>
            <w:pPr>
              <w:jc w:val="right"/>
            </w:pPr>
            <w:r>
              <w:rPr>
                <w:b/>
              </w:rPr>
            </w:r>
          </w:p>
        </w:tc>
        <w:tc>
          <w:tcPr>
            <w:tcW w:type="dxa" w:w="2412"/>
            <w:shd w:val="clear" w:color="auto" w:fill="E2E8F0"/>
          </w:tcPr>
          <w:p>
            <w:pPr>
              <w:jc w:val="right"/>
            </w:pPr>
            <w:r>
              <w:rPr>
                <w:b/>
              </w:rPr>
            </w:r>
          </w:p>
        </w:tc>
        <w:tc>
          <w:tcPr>
            <w:tcW w:type="dxa" w:w="2412"/>
            <w:shd w:val="clear" w:color="auto" w:fill="E2E8F0"/>
          </w:tcPr>
          <w:p>
            <w:pPr>
              <w:jc w:val="right"/>
            </w:pPr>
            <w:r>
              <w:rPr>
                <w:b/>
              </w:rPr>
              <w:t>$148,500</w:t>
            </w:r>
          </w:p>
        </w:tc>
      </w:tr>
    </w:tbl>
    <w:p>
      <w:pPr>
        <w:pStyle w:val="Heading1"/>
      </w:pPr>
      <w:r>
        <w:t>Projected savings</w:t>
      </w:r>
    </w:p>
    <w:p>
      <w:r>
        <w:drawing>
          <wp:inline xmlns:a="http://schemas.openxmlformats.org/drawingml/2006/main" xmlns:pic="http://schemas.openxmlformats.org/drawingml/2006/picture">
            <wp:extent cx="5669280" cy="2645664"/>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669280" cy="2645664"/>
                    </a:xfrm>
                    <a:prstGeom prst="rect"/>
                  </pic:spPr>
                </pic:pic>
              </a:graphicData>
            </a:graphic>
          </wp:inline>
        </w:drawing>
      </w:r>
    </w:p>
    <w:p>
      <w:pPr>
        <w:pStyle w:val="Heading2"/>
      </w:pPr>
      <w:r>
        <w:t>Timeline</w:t>
      </w:r>
    </w:p>
    <w:p>
      <w:pPr>
        <w:pStyle w:val="ListNumber"/>
      </w:pPr>
      <w:r>
        <w:t>Week 1-2: survey and design sign-off</w:t>
      </w:r>
    </w:p>
    <w:p>
      <w:pPr>
        <w:pStyle w:val="ListNumber"/>
      </w:pPr>
      <w:r>
        <w:t>Week 3-6: installation, one floor at a time</w:t>
      </w:r>
    </w:p>
    <w:p>
      <w:pPr>
        <w:pStyle w:val="ListNumber"/>
      </w:pPr>
      <w:r>
        <w:t>Week 7: commissioning and staff training</w:t>
      </w:r>
    </w:p>
    <w:p>
      <w:r>
        <w:rPr>
          <w:color w:val="6B7280"/>
          <w:sz w:val="16"/>
        </w:rPr>
        <w:t>Synthetic example only. Invented client and figures.</w:t>
      </w:r>
    </w:p>
    <w:sectPr w:rsidR="00FC693F" w:rsidRPr="0006063C" w:rsidSect="00034616">
      <w:pgSz w:w="12240" w:h="15840"/>
      <w:pgMar w:top="1440" w:right="1296" w:bottom="144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E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F766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FFFFF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